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  <w:r>
        <w:rPr>
          <w:rFonts w:asciiTheme="minorHAnsi" w:hAnsiTheme="minorHAnsi" w:cstheme="minorHAnsi"/>
          <w:color w:val="363635"/>
          <w:sz w:val="20"/>
          <w:szCs w:val="20"/>
        </w:rPr>
        <w:t>II CIKLUS – CENTRALNI UGAO KRUGA</w:t>
      </w:r>
    </w:p>
    <w:p w:rsid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Zatvorena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linija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čije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sve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leže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</w:t>
      </w:r>
      <w:proofErr w:type="spellEnd"/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jednakom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rastojanju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jedne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ravni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naziva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se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kružnica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ili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kružna</w:t>
      </w:r>
      <w:proofErr w:type="spellEnd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linija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.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</w:t>
      </w:r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koje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sve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jednako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udaljene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,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naziva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se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centar</w:t>
      </w:r>
      <w:proofErr w:type="spellEnd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kružnice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.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Rastojanje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</w:t>
      </w:r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do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bilo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koje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naziva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se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poluprečnik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.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k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u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C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poluprečnikom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r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označavamo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k(</w:t>
      </w:r>
      <w:proofErr w:type="spellStart"/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C</w:t>
      </w:r>
      <w:proofErr w:type="gramStart"/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,r</w:t>
      </w:r>
      <w:proofErr w:type="spellEnd"/>
      <w:proofErr w:type="gramEnd"/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</w:rPr>
        <w:t>)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Unija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linije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(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)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njene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unutrašnje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oblasti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naziva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se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krug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Centar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poluprečnik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kruga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odgovaraju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poluprečniku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njemu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pripadajuće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Krug </w:t>
      </w: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u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C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poluprečnikom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r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označavamo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K(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C</w:t>
      </w:r>
      <w:proofErr w:type="gram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,r</w:t>
      </w:r>
      <w:proofErr w:type="spellEnd"/>
      <w:proofErr w:type="gramEnd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)</w:t>
      </w:r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</w:p>
    <w:p w:rsidR="00953518" w:rsidRDefault="00953518" w:rsidP="00953518">
      <w:pPr>
        <w:pStyle w:val="NormalWeb"/>
        <w:shd w:val="clear" w:color="auto" w:fill="FCFCFC"/>
        <w:spacing w:before="0" w:beforeAutospacing="0" w:after="225" w:afterAutospacing="0"/>
        <w:textAlignment w:val="top"/>
        <w:rPr>
          <w:rFonts w:ascii="Arial" w:hAnsi="Arial" w:cs="Arial"/>
          <w:color w:val="363635"/>
          <w:sz w:val="21"/>
          <w:szCs w:val="21"/>
        </w:rPr>
      </w:pPr>
      <w:r>
        <w:rPr>
          <w:rFonts w:ascii="Arial" w:hAnsi="Arial" w:cs="Arial"/>
          <w:noProof/>
          <w:color w:val="363635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0550" cy="1968500"/>
            <wp:effectExtent l="0" t="0" r="6350" b="0"/>
            <wp:wrapSquare wrapText="bothSides"/>
            <wp:docPr id="3" name="Picture 3" descr="https://edukacija.rs/wp-content/uploads/2018/02/centralni-i-periferijski-ug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kacija.rs/wp-content/uploads/2018/02/centralni-i-periferijski-uga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847">
        <w:rPr>
          <w:rFonts w:ascii="Arial" w:hAnsi="Arial" w:cs="Arial"/>
          <w:color w:val="363635"/>
          <w:sz w:val="21"/>
          <w:szCs w:val="21"/>
        </w:rPr>
        <w:br w:type="textWrapping" w:clear="all"/>
      </w: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  <w:lang w:val="de-DE"/>
        </w:rPr>
      </w:pP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Tetiva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kruga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je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duž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čije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dve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kranje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tačke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na</w:t>
      </w:r>
      <w:proofErr w:type="spellEnd"/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kružnici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. 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Tetiva koja prolazi kroz centar kruga naziva se prečnik. Prečnik je dva puta duži od poluprečnika: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  <w:lang w:val="de-DE"/>
        </w:rPr>
        <w:t>R=2r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.</w:t>
      </w: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  <w:lang w:val="de-DE"/>
        </w:rPr>
      </w:pP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  <w:lang w:val="de-DE"/>
        </w:rPr>
        <w:t>Kružni luk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 je deo kružnice.</w:t>
      </w: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  <w:lang w:val="de-DE"/>
        </w:rPr>
      </w:pPr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  <w:lang w:val="de-DE"/>
        </w:rPr>
        <w:t>Centralni ugao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 kruga je ugao čije je teme centar kruga, i čiji su kraci određeni poluprečnicima kruga. Na slici 2. je prikazan centralni ugao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  <w:lang w:val="de-DE"/>
        </w:rPr>
        <w:t>ACB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. Duž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  <w:lang w:val="de-DE"/>
        </w:rPr>
        <w:t>AB 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 je odgovarajuća tetiva, a kružni luk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  <w:lang w:val="de-DE"/>
        </w:rPr>
        <w:t>AB 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 je odgovarajući luk centralnog ugla </w:t>
      </w:r>
      <w:r w:rsidRPr="00953518">
        <w:rPr>
          <w:rStyle w:val="Strong"/>
          <w:rFonts w:asciiTheme="minorHAnsi" w:hAnsiTheme="minorHAnsi" w:cstheme="minorHAnsi"/>
          <w:i/>
          <w:iCs/>
          <w:color w:val="363635"/>
          <w:sz w:val="20"/>
          <w:szCs w:val="20"/>
          <w:bdr w:val="none" w:sz="0" w:space="0" w:color="auto" w:frame="1"/>
          <w:lang w:val="de-DE"/>
        </w:rPr>
        <w:t>ACB</w:t>
      </w:r>
      <w:r w:rsidRPr="00953518">
        <w:rPr>
          <w:rFonts w:asciiTheme="minorHAnsi" w:hAnsiTheme="minorHAnsi" w:cstheme="minorHAnsi"/>
          <w:color w:val="363635"/>
          <w:sz w:val="20"/>
          <w:szCs w:val="20"/>
          <w:lang w:val="de-DE"/>
        </w:rPr>
        <w:t>.</w:t>
      </w:r>
    </w:p>
    <w:p w:rsidR="00953518" w:rsidRDefault="00953518" w:rsidP="00953518">
      <w:pPr>
        <w:pStyle w:val="NormalWeb"/>
        <w:shd w:val="clear" w:color="auto" w:fill="FCFCFC"/>
        <w:spacing w:before="0" w:beforeAutospacing="0" w:after="225" w:afterAutospacing="0"/>
        <w:textAlignment w:val="top"/>
        <w:rPr>
          <w:rFonts w:ascii="Arial" w:hAnsi="Arial" w:cs="Arial"/>
          <w:color w:val="363635"/>
          <w:sz w:val="21"/>
          <w:szCs w:val="21"/>
        </w:rPr>
      </w:pPr>
      <w:r>
        <w:rPr>
          <w:rFonts w:ascii="Arial" w:hAnsi="Arial" w:cs="Arial"/>
          <w:noProof/>
          <w:color w:val="363635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8000" cy="1803400"/>
            <wp:effectExtent l="0" t="0" r="0" b="6350"/>
            <wp:wrapSquare wrapText="bothSides"/>
            <wp:docPr id="2" name="Picture 2" descr="https://edukacija.rs/wp-content/uploads/2018/02/centralni-i-periferijski-ugao-fot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kacija.rs/wp-content/uploads/2018/02/centralni-i-periferijski-ugao-fot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847">
        <w:rPr>
          <w:rFonts w:ascii="Arial" w:hAnsi="Arial" w:cs="Arial"/>
          <w:color w:val="363635"/>
          <w:sz w:val="21"/>
          <w:szCs w:val="21"/>
        </w:rPr>
        <w:br w:type="textWrapping" w:clear="all"/>
      </w:r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225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Svakom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centralnom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uglu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odgovara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jedna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tetiva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jedan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luk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tog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kruga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  <w:proofErr w:type="gramEnd"/>
    </w:p>
    <w:p w:rsidR="00953518" w:rsidRPr="00953518" w:rsidRDefault="00953518" w:rsidP="00953518">
      <w:pPr>
        <w:pStyle w:val="NormalWeb"/>
        <w:shd w:val="clear" w:color="auto" w:fill="FCFCFC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63635"/>
          <w:sz w:val="20"/>
          <w:szCs w:val="20"/>
        </w:rPr>
      </w:pP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Svakom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centralnom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uglu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pripada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jedan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kružni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luk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,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dok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samo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konveksnim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centralnim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uglovima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pripada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odgovarajuća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tetiva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  <w:proofErr w:type="gram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proofErr w:type="gram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Kod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nekonveksnih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centralnih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uglova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odgovarajuća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tetiva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ne</w:t>
      </w:r>
      <w:proofErr w:type="spellEnd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53518">
        <w:rPr>
          <w:rStyle w:val="Strong"/>
          <w:rFonts w:asciiTheme="minorHAnsi" w:hAnsiTheme="minorHAnsi" w:cstheme="minorHAnsi"/>
          <w:color w:val="363635"/>
          <w:sz w:val="20"/>
          <w:szCs w:val="20"/>
          <w:bdr w:val="none" w:sz="0" w:space="0" w:color="auto" w:frame="1"/>
        </w:rPr>
        <w:t>pripada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 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oblasti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 xml:space="preserve"> </w:t>
      </w:r>
      <w:proofErr w:type="spellStart"/>
      <w:r w:rsidRPr="00953518">
        <w:rPr>
          <w:rFonts w:asciiTheme="minorHAnsi" w:hAnsiTheme="minorHAnsi" w:cstheme="minorHAnsi"/>
          <w:color w:val="363635"/>
          <w:sz w:val="20"/>
          <w:szCs w:val="20"/>
        </w:rPr>
        <w:t>ugla</w:t>
      </w:r>
      <w:proofErr w:type="spellEnd"/>
      <w:r w:rsidRPr="00953518">
        <w:rPr>
          <w:rFonts w:asciiTheme="minorHAnsi" w:hAnsiTheme="minorHAnsi" w:cstheme="minorHAnsi"/>
          <w:color w:val="363635"/>
          <w:sz w:val="20"/>
          <w:szCs w:val="20"/>
        </w:rPr>
        <w:t>.</w:t>
      </w:r>
      <w:proofErr w:type="gramEnd"/>
    </w:p>
    <w:p w:rsidR="009A3D2C" w:rsidRPr="00437847" w:rsidRDefault="00953518" w:rsidP="00437847">
      <w:pPr>
        <w:pStyle w:val="NormalWeb"/>
        <w:shd w:val="clear" w:color="auto" w:fill="FCFCFC"/>
        <w:spacing w:before="0" w:beforeAutospacing="0" w:after="225" w:afterAutospacing="0"/>
        <w:textAlignment w:val="top"/>
        <w:rPr>
          <w:rFonts w:ascii="Arial" w:hAnsi="Arial" w:cs="Arial"/>
          <w:color w:val="363635"/>
          <w:sz w:val="21"/>
          <w:szCs w:val="21"/>
        </w:rPr>
      </w:pPr>
      <w:r>
        <w:rPr>
          <w:rFonts w:ascii="Arial" w:hAnsi="Arial" w:cs="Arial"/>
          <w:noProof/>
          <w:color w:val="363635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38112D9" wp14:editId="39BD10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3500" cy="1873250"/>
            <wp:effectExtent l="0" t="0" r="0" b="0"/>
            <wp:wrapSquare wrapText="bothSides"/>
            <wp:docPr id="1" name="Picture 1" descr="https://edukacija.rs/wp-content/uploads/2018/02/centralni-i-periferijski-ugao-fot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kacija.rs/wp-content/uploads/2018/02/centralni-i-periferijski-ugao-foto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847">
        <w:rPr>
          <w:rFonts w:ascii="Arial" w:hAnsi="Arial" w:cs="Arial"/>
          <w:color w:val="363635"/>
          <w:sz w:val="21"/>
          <w:szCs w:val="21"/>
        </w:rPr>
        <w:br w:type="textWrapping" w:clear="all"/>
      </w:r>
      <w:bookmarkStart w:id="0" w:name="_GoBack"/>
      <w:bookmarkEnd w:id="0"/>
    </w:p>
    <w:sectPr w:rsidR="009A3D2C" w:rsidRPr="00437847" w:rsidSect="009535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8"/>
    <w:rsid w:val="00437847"/>
    <w:rsid w:val="00953518"/>
    <w:rsid w:val="00DD554A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5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5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WiseOwlSchool</dc:creator>
  <cp:lastModifiedBy>RaMi</cp:lastModifiedBy>
  <cp:revision>2</cp:revision>
  <cp:lastPrinted>2021-03-02T18:49:00Z</cp:lastPrinted>
  <dcterms:created xsi:type="dcterms:W3CDTF">2021-03-02T18:44:00Z</dcterms:created>
  <dcterms:modified xsi:type="dcterms:W3CDTF">2021-06-10T18:18:00Z</dcterms:modified>
</cp:coreProperties>
</file>